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18.03.2025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  <w:highlight w:val="none"/>
        </w:rPr>
        <w:t xml:space="preserve"> </w:t>
      </w: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Самарский Росреестр продолжает серию обучающих</w:t>
      </w: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52625"/>
          <w:sz w:val="28"/>
          <w:szCs w:val="28"/>
          <w:highlight w:val="white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  <w:t xml:space="preserve"> мероприятий для адвокатского сообщества</w:t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white"/>
        </w:rPr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whit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Темой очередного семинара в Палате адвокатов</w:t>
      </w:r>
      <w:r>
        <w:rPr>
          <w:rFonts w:ascii="Tinos" w:hAnsi="Tinos" w:eastAsia="Tinos" w:cs="Tinos"/>
          <w:sz w:val="28"/>
          <w:szCs w:val="28"/>
        </w:rPr>
        <w:t xml:space="preserve"> Самарской области стала федеральная программа «Национальная система пространственных данных» (НСПД) – стратегия развития Росреестра.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 Заместитель начальника отдела правового обеспечения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Константин Минин</w:t>
      </w:r>
      <w:r>
        <w:rPr>
          <w:rFonts w:ascii="Tinos" w:hAnsi="Tinos" w:eastAsia="Tinos" w:cs="Tinos" w:eastAsiaTheme="minorHAnsi"/>
          <w:sz w:val="28"/>
          <w:szCs w:val="28"/>
          <w:lang w:eastAsia="en-US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рассказал адвокатам о системной работе по заполнению НСПД пространственными данными из федеральных и региональных информационных систем.  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Спикер обратил внимание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на то, что Публичная кадастровая карта с 2025 года полностью интегрировала на платформу </w:t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</w:r>
      <w:hyperlink r:id="rId10" w:tooltip="https://nspd.gov.ru/" w:history="1">
        <w:r>
          <w:rPr>
            <w:rStyle w:val="816"/>
            <w:rFonts w:ascii="Tinos" w:hAnsi="Tinos" w:eastAsia="Tinos" w:cs="Tinos"/>
            <w:i/>
            <w:iCs/>
            <w:sz w:val="28"/>
            <w:szCs w:val="28"/>
            <w:highlight w:val="none"/>
          </w:rPr>
          <w:t xml:space="preserve">https://nspd.gov.ru/</w:t>
        </w:r>
        <w:r>
          <w:rPr>
            <w:rStyle w:val="816"/>
            <w:rFonts w:ascii="Tinos" w:hAnsi="Tinos" w:eastAsia="Tinos" w:cs="Tinos"/>
            <w:i/>
            <w:iCs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  <w:t xml:space="preserve"> и содержит актуальные данные только в указанной системе. Показал возможности сервиса «Индивидуальное жилищное строительство», посредством которого можно разместить дом н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а участке,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при этом соблюсти все разрешенные законом отступы. Рассказал, что информацию о территориальных зонах, красных линиях и иных зонах с особыми условиями использования территорий можно найти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 помощью сервиса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hyperlink r:id="rId11" w:tooltip="https://nspd.gov.ru/urban-analyze" w:history="1">
        <w:r>
          <w:rPr>
            <w:rFonts w:ascii="Tinos" w:hAnsi="Tinos" w:eastAsia="Tinos" w:cs="Tinos"/>
            <w:sz w:val="28"/>
            <w:szCs w:val="28"/>
            <w:highlight w:val="none"/>
          </w:rPr>
          <w:t xml:space="preserve">«Градостроительная проработка онлайн</w:t>
        </w:r>
      </w:hyperlink>
      <w:r>
        <w:rPr>
          <w:rFonts w:ascii="Tinos" w:hAnsi="Tinos" w:eastAsia="Tinos" w:cs="Tinos"/>
          <w:sz w:val="28"/>
          <w:szCs w:val="28"/>
          <w:highlight w:val="none"/>
        </w:rPr>
        <w:t xml:space="preserve">». Подробности ранее нами освещались по </w:t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ссылке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: </w:t>
      </w:r>
      <w:r>
        <w:rPr>
          <w:rFonts w:ascii="Tinos" w:hAnsi="Tinos" w:eastAsia="Tinos" w:cs="Tinos"/>
          <w:sz w:val="28"/>
          <w:szCs w:val="28"/>
          <w:highlight w:val="none"/>
        </w:rPr>
      </w:r>
      <w:hyperlink r:id="rId12" w:tooltip="https://vk.com/rosreestr63?w=wall-210717495_1055" w:history="1">
        <w:r>
          <w:rPr>
            <w:rStyle w:val="816"/>
            <w:rFonts w:ascii="Tinos" w:hAnsi="Tinos" w:eastAsia="Tinos" w:cs="Tinos"/>
            <w:sz w:val="28"/>
            <w:szCs w:val="28"/>
            <w:highlight w:val="none"/>
          </w:rPr>
          <w:t xml:space="preserve">https://vk.com/rosreestr63?w=wall-210717495_1055</w:t>
        </w:r>
        <w:r>
          <w:rPr>
            <w:rStyle w:val="816"/>
            <w:rFonts w:ascii="Tinos" w:hAnsi="Tinos" w:eastAsia="Tinos" w:cs="Tinos"/>
            <w:sz w:val="28"/>
            <w:szCs w:val="28"/>
            <w:highlight w:val="none"/>
          </w:rPr>
        </w:r>
      </w:hyperlink>
      <w:r>
        <w:rPr>
          <w:rFonts w:ascii="Tinos" w:hAnsi="Tinos" w:eastAsia="Tinos" w:cs="Tinos"/>
          <w:sz w:val="28"/>
          <w:szCs w:val="28"/>
          <w:highlight w:val="none"/>
        </w:rPr>
        <w:t xml:space="preserve"> Наглядно продемонстрировал проверку технических и межевых планов в сервисе «Визуализация пространственных данных».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«Завершить формирование едино</w:t>
      </w:r>
      <w:r>
        <w:rPr>
          <w:rFonts w:ascii="Tinos" w:hAnsi="Tinos" w:cs="Tinos"/>
          <w:i/>
          <w:iCs/>
          <w:sz w:val="28"/>
          <w:szCs w:val="28"/>
        </w:rPr>
        <w:t xml:space="preserve">й</w:t>
      </w:r>
      <w:r>
        <w:rPr>
          <w:rFonts w:ascii="Tinos" w:hAnsi="Tinos" w:cs="Tinos"/>
          <w:i/>
          <w:iCs/>
          <w:sz w:val="28"/>
          <w:szCs w:val="28"/>
        </w:rPr>
        <w:t xml:space="preserve"> цифровой платформы пространственных данных планируется к 2030 году, однако уже сегодня ее можно и нужно эксплуатировать и внедрять в свою деятельность, так как НСПД содержит массу полезных сервисов для всех категорий граждан»</w:t>
      </w:r>
      <w:r>
        <w:rPr>
          <w:rFonts w:ascii="Tinos" w:hAnsi="Tinos" w:cs="Tinos"/>
          <w:sz w:val="28"/>
          <w:szCs w:val="28"/>
        </w:rPr>
        <w:t xml:space="preserve">- подытожил </w:t>
      </w:r>
      <w:r>
        <w:rPr>
          <w:rFonts w:ascii="Tinos" w:hAnsi="Tinos" w:cs="Tinos"/>
          <w:b/>
          <w:bCs/>
          <w:sz w:val="28"/>
          <w:szCs w:val="28"/>
        </w:rPr>
        <w:t xml:space="preserve">Константин Минин</w:t>
      </w:r>
      <w:r>
        <w:rPr>
          <w:rFonts w:ascii="Tinos" w:hAnsi="Tinos" w:cs="Tinos"/>
          <w:sz w:val="28"/>
          <w:szCs w:val="28"/>
        </w:rPr>
        <w:t xml:space="preserve">. </w:t>
      </w:r>
      <w:r>
        <w:rPr>
          <w:rFonts w:ascii="Tinos" w:hAnsi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non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pPr>
      <w:r>
        <w:rPr>
          <w:rFonts w:ascii="Tinos" w:hAnsi="Tinos" w:cs="Tinos"/>
          <w:i/>
          <w:iCs/>
          <w:sz w:val="28"/>
          <w:szCs w:val="28"/>
        </w:rPr>
        <w:t xml:space="preserve">«У</w:t>
      </w:r>
      <w:r>
        <w:rPr>
          <w:rFonts w:ascii="Tinos" w:hAnsi="Tinos" w:cs="Tinos"/>
          <w:i/>
          <w:iCs/>
          <w:sz w:val="28"/>
          <w:szCs w:val="28"/>
        </w:rPr>
        <w:t xml:space="preserve">словиями сохранения статуса адвоката является постоянное повышение своих знаний. Современное законодательство совершенствуется, и это требует от адвокатов постоянного отслеживания всех законодательных изменений. Это важно для</w:t>
      </w:r>
      <w:r>
        <w:rPr>
          <w:rFonts w:ascii="Tinos" w:hAnsi="Tinos" w:cs="Tinos"/>
          <w:i/>
          <w:iCs/>
          <w:sz w:val="28"/>
          <w:szCs w:val="28"/>
        </w:rPr>
        <w:t xml:space="preserve"> оказания квалифицированной помощи своим доверителям. Управление Росреестра по Самарской области ведет огромную работу по проведению обучающих семинаров, направленных на повышение знаний и осведомленности адвокатов в области регистрации прав на объекты нед</w:t>
      </w:r>
      <w:r>
        <w:rPr>
          <w:rFonts w:ascii="Tinos" w:hAnsi="Tinos" w:cs="Tinos"/>
          <w:i/>
          <w:iCs/>
          <w:sz w:val="28"/>
          <w:szCs w:val="28"/>
        </w:rPr>
        <w:t xml:space="preserve">вижимости и навыков использования электронных сервисов Росреестра. Указанное подтверждает и прошедший в стенах Палаты семинар</w:t>
      </w:r>
      <w:r>
        <w:rPr>
          <w:rFonts w:ascii="Tinos" w:hAnsi="Tinos" w:cs="Tinos"/>
          <w:i/>
          <w:iCs/>
          <w:sz w:val="28"/>
          <w:szCs w:val="28"/>
        </w:rPr>
        <w:t xml:space="preserve">. Полный зал участников, активно задаваемые вопросы, обсу</w:t>
      </w:r>
      <w:r>
        <w:rPr>
          <w:rFonts w:ascii="Tinos" w:hAnsi="Tinos" w:cs="Tinos"/>
          <w:i/>
          <w:iCs/>
          <w:sz w:val="28"/>
          <w:szCs w:val="28"/>
        </w:rPr>
        <w:t xml:space="preserve">ждения – все свидетельствует об интересе адвокатов и заинтересованности Управления Росреестра в обучении правоприменителей пользо</w:t>
      </w:r>
      <w:r>
        <w:rPr>
          <w:rFonts w:ascii="Tinos" w:hAnsi="Tinos" w:cs="Tinos"/>
          <w:i/>
          <w:iCs/>
          <w:sz w:val="28"/>
          <w:szCs w:val="28"/>
        </w:rPr>
        <w:t xml:space="preserve">ваться этим глобальным сервисом.» – 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комментирует 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Вице-Президент ПАСО </w:t>
      </w:r>
      <w:r>
        <w:rPr>
          <w:rFonts w:ascii="Tinos" w:hAnsi="Tinos" w:cs="Tinos"/>
          <w:b/>
          <w:bCs/>
          <w:i w:val="0"/>
          <w:iCs w:val="0"/>
          <w:sz w:val="28"/>
          <w:szCs w:val="28"/>
        </w:rPr>
        <w:t xml:space="preserve">Наталья Сухова</w:t>
      </w:r>
      <w:r>
        <w:rPr>
          <w:rFonts w:ascii="Tinos" w:hAnsi="Tinos" w:cs="Tinos"/>
          <w:i w:val="0"/>
          <w:iCs w:val="0"/>
          <w:sz w:val="28"/>
          <w:szCs w:val="28"/>
        </w:rPr>
        <w:t xml:space="preserve">.</w:t>
      </w:r>
      <w:r>
        <w:rPr>
          <w:rFonts w:ascii="Tinos" w:hAnsi="Tinos" w:cs="Tinos"/>
          <w:bCs/>
          <w:i/>
          <w:sz w:val="28"/>
          <w:szCs w:val="28"/>
          <w14:ligatures w14:val="none"/>
        </w:rPr>
      </w:r>
      <w:r>
        <w:rPr>
          <w:rFonts w:ascii="Tinos" w:hAnsi="Tinos" w:cs="Tinos"/>
          <w:bCs/>
          <w:i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after="0" w:line="360" w:lineRule="auto"/>
        <w:rPr>
          <w:rFonts w:ascii="Tinos" w:hAnsi="Tinos" w:cs="Tinos"/>
          <w:bCs/>
          <w:i/>
          <w:sz w:val="28"/>
          <w:szCs w:val="28"/>
          <w14:ligatures w14:val="none"/>
        </w:rPr>
      </w:pPr>
      <w:r>
        <w:rPr>
          <w:rFonts w:ascii="Tinos" w:hAnsi="Tinos" w:cs="Tinos"/>
          <w:i/>
          <w:iCs/>
          <w:sz w:val="28"/>
          <w:szCs w:val="28"/>
          <w:highlight w:val="none"/>
        </w:rPr>
      </w:r>
      <w:r>
        <w:rPr>
          <w:rFonts w:ascii="Tinos" w:hAnsi="Tinos" w:cs="Tinos"/>
          <w:i/>
          <w:iCs/>
          <w:sz w:val="28"/>
          <w:szCs w:val="28"/>
          <w:highlight w:val="none"/>
        </w:rPr>
      </w:r>
      <w:r>
        <w:rPr>
          <w:rFonts w:ascii="Tinos" w:hAnsi="Tinos" w:cs="Tinos"/>
          <w:bCs/>
          <w:i/>
          <w:sz w:val="28"/>
          <w:szCs w:val="28"/>
          <w14:ligatures w14:val="none"/>
        </w:rPr>
      </w:r>
    </w:p>
    <w:p>
      <w:pPr>
        <w:ind w:left="0" w:right="0" w:firstLine="0"/>
        <w:jc w:val="both"/>
        <w:spacing w:after="0" w:line="360" w:lineRule="auto"/>
        <w:rPr>
          <w:rFonts w:ascii="Tinos" w:hAnsi="Tinos" w:cs="Tinos"/>
          <w:bCs/>
          <w:i/>
          <w:sz w:val="28"/>
          <w:szCs w:val="28"/>
          <w14:ligatures w14:val="none"/>
        </w:rPr>
      </w:pPr>
      <w:r>
        <w:rPr>
          <w:rFonts w:ascii="Tinos" w:hAnsi="Tinos" w:cs="Tinos"/>
          <w:i/>
          <w:iCs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87996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115050" cy="634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nos" w:hAnsi="Tinos" w:cs="Tinos"/>
          <w:bCs/>
          <w:i/>
          <w:sz w:val="28"/>
          <w:szCs w:val="28"/>
          <w14:ligatures w14:val="none"/>
        </w:rPr>
      </w:r>
      <w:r>
        <w:rPr>
          <w:rFonts w:ascii="Tinos" w:hAnsi="Tinos" w:cs="Tinos"/>
          <w:bCs/>
          <w:i/>
          <w:sz w:val="28"/>
          <w:szCs w:val="28"/>
          <w14:ligatures w14:val="none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  <w:style w:type="paragraph" w:styleId="840" w:customStyle="1">
    <w:name w:val="Normal (Web)"/>
    <w:basedOn w:val="748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nspd.gov.ru/" TargetMode="External"/><Relationship Id="rId11" Type="http://schemas.openxmlformats.org/officeDocument/2006/relationships/hyperlink" Target="https://nspd.gov.ru/urban-analyze" TargetMode="External"/><Relationship Id="rId12" Type="http://schemas.openxmlformats.org/officeDocument/2006/relationships/hyperlink" Target="https://vk.com/rosreestr63?w=wall-210717495_1055" TargetMode="External"/><Relationship Id="rId13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15</cp:revision>
  <dcterms:modified xsi:type="dcterms:W3CDTF">2025-03-18T11:26:37Z</dcterms:modified>
</cp:coreProperties>
</file>