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right"/>
        <w:spacing w:line="36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17.03.2025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37"/>
        <w:ind w:firstLine="708"/>
        <w:jc w:val="right"/>
        <w:spacing w:line="36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7"/>
        <w:ind w:firstLine="708"/>
        <w:jc w:val="center"/>
        <w:spacing w:line="276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color w:val="252625"/>
          <w:sz w:val="28"/>
          <w:szCs w:val="28"/>
        </w:rPr>
        <w:t xml:space="preserve">О газификация домовладений на территории Самарской области рассказал региональный Росреестр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center"/>
        <w:spacing w:line="276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276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Более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1 500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домовладений в Самарской области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, подлежащих бесплатной догазификации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вошли в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пообъектный план-график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.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В него включены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373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СНТ на территории 16 муниципальных образований Самарской области.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276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Одним из социально значимых поручений, данных Президентом РФ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, является обеспечение выполнения мероприятий по подключению к газораспределительным сетям домовладений, расположенных на землях СНТ в газифицированных населенных пунктах.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276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В 2024 году Правительство Самарской области и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региональные газораспределительные организации провели масштабную работу по реализации мероприятий по газификации домовладений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в СНТ. В результате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были утверждены Сводный план-график догазификации территории ведения гражданами садоводства для собственных нужд и пообъектный план-график догазификации территории ведения гражданам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и садоводства для собственных нужд.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276" w:lineRule="auto"/>
        <w:rPr>
          <w:rFonts w:ascii="Tinos" w:hAnsi="Tinos" w:eastAsia="Tinos" w:cs="Tinos"/>
          <w:b w:val="0"/>
          <w:bCs/>
          <w:i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Графики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находятся в процессе корректировки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и в ближайшее время будут пополнены сведениями о новых СНТ и домовладениях в них, включенных в программу бесплатной догазификации.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Ознакомиться с действующим Сводным планом-графиком можно на сайте Управления Росреестра по Самарской области по ссылке: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hyperlink r:id="rId10" w:tooltip="https://rosreestr.gov.ru/open-service/statistika-i-analitika/informatsiya-ob-snt-popadayushchikh-v-programmu-gazifikatsii/." w:history="1">
        <w:r>
          <w:rPr>
            <w:rStyle w:val="816"/>
            <w:rFonts w:ascii="Tinos" w:hAnsi="Tinos" w:eastAsia="Tinos" w:cs="Tinos"/>
            <w:b w:val="0"/>
            <w:bCs w:val="0"/>
            <w:i/>
            <w:iCs/>
            <w:sz w:val="28"/>
            <w:szCs w:val="28"/>
            <w:highlight w:val="none"/>
          </w:rPr>
          <w:t xml:space="preserve">https://rosreestr.gov.ru/open-service/statistika-i-analitika/informatsiya-ob-snt-popadayushchikh-v-programmu-gazifikatsii/</w:t>
        </w:r>
        <w:r>
          <w:rPr>
            <w:rStyle w:val="816"/>
            <w:rFonts w:ascii="Tinos" w:hAnsi="Tinos" w:eastAsia="Tinos" w:cs="Tinos"/>
            <w:b w:val="0"/>
            <w:bCs w:val="0"/>
            <w:i/>
            <w:iCs/>
            <w:sz w:val="28"/>
            <w:szCs w:val="28"/>
            <w:highlight w:val="none"/>
          </w:rPr>
          <w:t xml:space="preserve">.</w:t>
        </w:r>
        <w:r>
          <w:rPr>
            <w:rStyle w:val="816"/>
            <w:rFonts w:ascii="Tinos" w:hAnsi="Tinos" w:eastAsia="Tinos" w:cs="Tinos"/>
            <w:b w:val="0"/>
            <w:bCs w:val="0"/>
            <w:i/>
            <w:iCs/>
            <w:sz w:val="28"/>
            <w:szCs w:val="28"/>
            <w:highlight w:val="none"/>
          </w:rPr>
        </w:r>
        <w:r>
          <w:rPr>
            <w:rStyle w:val="816"/>
            <w:rFonts w:ascii="Tinos" w:hAnsi="Tinos" w:eastAsia="Tinos" w:cs="Tinos"/>
            <w:b w:val="0"/>
            <w:bCs w:val="0"/>
            <w:i/>
            <w:iCs/>
            <w:sz w:val="28"/>
            <w:szCs w:val="28"/>
            <w:highlight w:val="none"/>
          </w:rPr>
        </w:r>
      </w:hyperlink>
      <w:r>
        <w:rPr>
          <w:rFonts w:ascii="Tinos" w:hAnsi="Tinos" w:eastAsia="Tinos" w:cs="Tinos"/>
          <w:b w:val="0"/>
          <w:bCs/>
          <w:i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/>
          <w:i/>
          <w:sz w:val="28"/>
          <w:szCs w:val="28"/>
          <w:highlight w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7"/>
        <w:ind w:firstLine="708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7"/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open-service/statistika-i-analitika/informatsiya-ob-snt-popadayushchikh-v-programmu-gazifikatsii/." TargetMode="External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2025-03-14T05:34:46Z</dcterms:modified>
</cp:coreProperties>
</file>